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2"/>
          <w:szCs w:val="22"/>
        </w:rPr>
      </w:pPr>
    </w:p>
    <w:p>
      <w:pPr>
        <w:pStyle w:val="Domyślne A"/>
        <w:jc w:val="center"/>
        <w:rPr>
          <w:rFonts w:ascii="Times New Roman" w:cs="Times New Roman" w:hAnsi="Times New Roman" w:eastAsia="Times New Roman"/>
          <w:b w:val="1"/>
          <w:bCs w:val="1"/>
        </w:rPr>
      </w:pPr>
      <w:r>
        <w:rPr>
          <w:rFonts w:ascii="Times New Roman" w:hAnsi="Times New Roman"/>
          <w:b w:val="1"/>
          <w:bCs w:val="1"/>
          <w:rtl w:val="0"/>
          <w:lang w:val="de-DE"/>
        </w:rPr>
        <w:t xml:space="preserve">REGULATIONS FOR DIDACTIC </w:t>
      </w:r>
      <w:r>
        <w:rPr>
          <w:rFonts w:ascii="Times New Roman" w:hAnsi="Times New Roman"/>
          <w:b w:val="1"/>
          <w:bCs w:val="1"/>
          <w:rtl w:val="0"/>
          <w:lang w:val="en-US"/>
        </w:rPr>
        <w:t xml:space="preserve">CLASSES </w:t>
      </w:r>
      <w:r>
        <w:rPr>
          <w:rFonts w:ascii="Times New Roman" w:hAnsi="Times New Roman"/>
          <w:b w:val="1"/>
          <w:bCs w:val="1"/>
          <w:rtl w:val="0"/>
          <w:lang w:val="de-DE"/>
        </w:rPr>
        <w:t xml:space="preserve">IN CONSERVATIVE DENTISTRY </w:t>
      </w:r>
      <w:r>
        <w:rPr>
          <w:rFonts w:ascii="Times New Roman" w:cs="Times New Roman" w:hAnsi="Times New Roman" w:eastAsia="Times New Roman"/>
          <w:b w:val="1"/>
          <w:bCs w:val="1"/>
          <w:lang w:val="de-DE"/>
        </w:rPr>
        <w:br w:type="textWrapping"/>
      </w:r>
      <w:r>
        <w:rPr>
          <w:rFonts w:ascii="Times New Roman" w:hAnsi="Times New Roman"/>
          <w:b w:val="1"/>
          <w:bCs w:val="1"/>
          <w:rtl w:val="0"/>
          <w:lang w:val="de-DE"/>
        </w:rPr>
        <w:t xml:space="preserve">WITH </w:t>
      </w:r>
      <w:r>
        <w:rPr>
          <w:rFonts w:ascii="Times New Roman" w:hAnsi="Times New Roman"/>
          <w:b w:val="1"/>
          <w:bCs w:val="1"/>
          <w:rtl w:val="0"/>
          <w:lang w:val="es-ES_tradnl"/>
        </w:rPr>
        <w:t>ENDODON</w:t>
      </w:r>
      <w:r>
        <w:rPr>
          <w:rFonts w:ascii="Times New Roman" w:hAnsi="Times New Roman"/>
          <w:b w:val="1"/>
          <w:bCs w:val="1"/>
          <w:rtl w:val="0"/>
        </w:rPr>
        <w:t>TICS</w:t>
      </w:r>
    </w:p>
    <w:p>
      <w:pPr>
        <w:pStyle w:val="Domyślne A"/>
        <w:jc w:val="center"/>
        <w:rPr>
          <w:rFonts w:ascii="Times New Roman" w:cs="Times New Roman" w:hAnsi="Times New Roman" w:eastAsia="Times New Roman"/>
        </w:rPr>
      </w:pPr>
      <w:r>
        <w:rPr>
          <w:rFonts w:ascii="Times New Roman" w:hAnsi="Times New Roman"/>
          <w:b w:val="1"/>
          <w:bCs w:val="1"/>
          <w:rtl w:val="0"/>
          <w:lang w:val="en-US"/>
        </w:rPr>
        <w:t>EFFECTIVE FOR THE ACADEMIC YEAR 2023/2024</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In order to receive credit for the classes of the day, attendance at the seminar and exercises is </w:t>
      </w:r>
      <w:r>
        <w:rPr>
          <w:outline w:val="0"/>
          <w:color w:val="030303"/>
          <w:sz w:val="22"/>
          <w:szCs w:val="22"/>
          <w:u w:val="single" w:color="030303"/>
          <w:rtl w:val="0"/>
          <w:lang w:val="en-US"/>
          <w14:textFill>
            <w14:solidFill>
              <w14:srgbClr w14:val="030303"/>
            </w14:solidFill>
          </w14:textFill>
        </w:rPr>
        <w:t xml:space="preserve">absolutely </w:t>
      </w:r>
      <w:r>
        <w:rPr>
          <w:outline w:val="0"/>
          <w:color w:val="030303"/>
          <w:sz w:val="22"/>
          <w:szCs w:val="22"/>
          <w:u w:color="030303"/>
          <w:rtl w:val="0"/>
          <w:lang w:val="en-US"/>
          <w14:textFill>
            <w14:solidFill>
              <w14:srgbClr w14:val="030303"/>
            </w14:solidFill>
          </w14:textFill>
        </w:rPr>
        <w:t xml:space="preserve">required. </w:t>
      </w:r>
      <w:r>
        <w:rPr>
          <w:outline w:val="0"/>
          <w:color w:val="030303"/>
          <w:sz w:val="22"/>
          <w:szCs w:val="22"/>
          <w:u w:val="single" w:color="030303"/>
          <w:rtl w:val="0"/>
          <w:lang w:val="en-US"/>
          <w14:textFill>
            <w14:solidFill>
              <w14:srgbClr w14:val="030303"/>
            </w14:solidFill>
          </w14:textFill>
        </w:rPr>
        <w:t>Failure to attend one of the forms of classes will result in failure to pass them</w:t>
      </w:r>
      <w:r>
        <w:rPr>
          <w:outline w:val="0"/>
          <w:color w:val="030303"/>
          <w:sz w:val="22"/>
          <w:szCs w:val="22"/>
          <w:u w:color="030303"/>
          <w:rtl w:val="0"/>
          <w:lang w:val="en-US"/>
          <w14:textFill>
            <w14:solidFill>
              <w14:srgbClr w14:val="030303"/>
            </w14:solidFill>
          </w14:textFill>
        </w:rPr>
        <w:t xml:space="preserve">. </w:t>
      </w:r>
    </w:p>
    <w:p>
      <w:pPr>
        <w:pStyle w:val="Normal.0"/>
        <w:numPr>
          <w:ilvl w:val="0"/>
          <w:numId w:val="2"/>
        </w:numPr>
        <w:bidi w:val="0"/>
        <w:spacing w:before="100" w:after="100"/>
        <w:ind w:right="0"/>
        <w:jc w:val="both"/>
        <w:rPr>
          <w:b w:val="1"/>
          <w:bCs w:val="1"/>
          <w:outline w:val="0"/>
          <w:color w:val="030303"/>
          <w:sz w:val="22"/>
          <w:szCs w:val="22"/>
          <w:rtl w:val="0"/>
          <w:lang w:val="en-US"/>
          <w14:textFill>
            <w14:solidFill>
              <w14:srgbClr w14:val="030303"/>
            </w14:solidFill>
          </w14:textFill>
        </w:rPr>
      </w:pPr>
      <w:r>
        <w:rPr>
          <w:b w:val="1"/>
          <w:bCs w:val="1"/>
          <w:outline w:val="0"/>
          <w:color w:val="030303"/>
          <w:sz w:val="22"/>
          <w:szCs w:val="22"/>
          <w:u w:color="030303"/>
          <w:rtl w:val="0"/>
          <w:lang w:val="en-US"/>
          <w14:textFill>
            <w14:solidFill>
              <w14:srgbClr w14:val="030303"/>
            </w14:solidFill>
          </w14:textFill>
        </w:rPr>
        <w:t>During the exercises, treatment attire is mandatory - apron, pants or skirt (in white, blue or navy), replacement shoes with light soles. The student is required to wear an identification badge with name and surname.</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The student enters the procedure wearing headgear, safety goggles and a mask or visor, and gloves (must not be black).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No bags, backpacks, etc. may be brought into the clinic room, </w:t>
      </w:r>
      <w:r>
        <w:rPr>
          <w:outline w:val="0"/>
          <w:color w:val="030303"/>
          <w:sz w:val="22"/>
          <w:szCs w:val="22"/>
          <w:u w:val="single" w:color="030303"/>
          <w:rtl w:val="0"/>
          <w:lang w:val="en-US"/>
          <w14:textFill>
            <w14:solidFill>
              <w14:srgbClr w14:val="030303"/>
            </w14:solidFill>
          </w14:textFill>
        </w:rPr>
        <w:t>cell phones are prohibited</w:t>
      </w:r>
      <w:r>
        <w:rPr>
          <w:outline w:val="0"/>
          <w:color w:val="030303"/>
          <w:sz w:val="22"/>
          <w:szCs w:val="22"/>
          <w:u w:color="030303"/>
          <w:rtl w:val="0"/>
          <w:lang w:val="en-US"/>
          <w14:textFill>
            <w14:solidFill>
              <w14:srgbClr w14:val="030303"/>
            </w14:solidFill>
          </w14:textFill>
        </w:rPr>
        <w:t xml:space="preserve">.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Photo documentation can only be done with a camera available at the Clinic.</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The assistant assesses the student's theoretical preparation for the procedure to be performed.</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The student can begin performing the procedure, only after approval by the assistant.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Each stage of the student's work must be checked by the exercise instructor.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Students work in a binary system (four hands - active assistance) with the patient </w:t>
      </w:r>
      <w:r>
        <w:rPr>
          <w:outline w:val="0"/>
          <w:color w:val="030303"/>
          <w:sz w:val="22"/>
          <w:szCs w:val="22"/>
          <w:u w:color="030303"/>
          <w14:textFill>
            <w14:solidFill>
              <w14:srgbClr w14:val="030303"/>
            </w14:solidFill>
          </w14:textFill>
        </w:rPr>
        <w:br w:type="textWrapping"/>
      </w:r>
      <w:r>
        <w:rPr>
          <w:outline w:val="0"/>
          <w:color w:val="030303"/>
          <w:sz w:val="22"/>
          <w:szCs w:val="22"/>
          <w:u w:color="030303"/>
          <w:rtl w:val="0"/>
          <w:lang w:val="en-US"/>
          <w14:textFill>
            <w14:solidFill>
              <w14:srgbClr w14:val="030303"/>
            </w14:solidFill>
          </w14:textFill>
        </w:rPr>
        <w:t xml:space="preserve">in the supine position.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Each treatment performed by the student must be described in the treatment limits notebook.</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After completion of the procedure, the workstation is cleaned up by a pair of students previously working at it (including preparation of small instrumentation for sterilization). Acceptance of the workstation is carried out in the presence of the students by the dental assistant. Any missing or damaged equipment is noted </w:t>
      </w:r>
      <w:r>
        <w:rPr>
          <w:outline w:val="0"/>
          <w:color w:val="030303"/>
          <w:sz w:val="22"/>
          <w:szCs w:val="22"/>
          <w:u w:color="030303"/>
          <w14:textFill>
            <w14:solidFill>
              <w14:srgbClr w14:val="030303"/>
            </w14:solidFill>
          </w14:textFill>
        </w:rPr>
        <w:br w:type="textWrapping"/>
      </w:r>
      <w:r>
        <w:rPr>
          <w:outline w:val="0"/>
          <w:color w:val="030303"/>
          <w:sz w:val="22"/>
          <w:szCs w:val="22"/>
          <w:u w:color="030303"/>
          <w:rtl w:val="0"/>
          <w:lang w:val="en-US"/>
          <w14:textFill>
            <w14:solidFill>
              <w14:srgbClr w14:val="030303"/>
            </w14:solidFill>
          </w14:textFill>
        </w:rPr>
        <w:t xml:space="preserve">in the Clinic's records.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Students during practice are allowed to leave the clinical room only with the permission of the assistant.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The condition for taking the colloquium is the absence of arrears. Colloquia are conducted in the form of tests, the passing threshold is 70%. There are two deadlines for each colloquium.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The prerequisite for receiving credit is 100% attendance at exercises and seminars, passed colloquia and earned treatment minima. Students are also evaluated in the following categories: ability to work in a team, attitude towards the instructor and the patient.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In order to be admitted to the diploma exam in the fifth year, it is necessary to pass the OSCE exam.</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Systematic work will be promoted by including in the results of the test Diploma Examination: 5 points for those who have obtained an average of more than or equal to 4.5 from colloquia for three years of study and 3 points for those with an average of more than or equal to 4.0. The condition for obtaining additional points is the absence of failing grades.</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At colloquia and exams, the auricles are to be exposed.</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Formal attire is required for examinations.</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 xml:space="preserve">I have been informed of the installation of the GENDEX 765DC radiovisiograph device, which is located in room 116. </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I have familiarized myself with the occupational risks at my workplace.</w:t>
      </w:r>
    </w:p>
    <w:p>
      <w:pPr>
        <w:pStyle w:val="Normal.0"/>
        <w:numPr>
          <w:ilvl w:val="0"/>
          <w:numId w:val="2"/>
        </w:numPr>
        <w:bidi w:val="0"/>
        <w:spacing w:before="100" w:after="100"/>
        <w:ind w:right="0"/>
        <w:jc w:val="both"/>
        <w:rPr>
          <w:outline w:val="0"/>
          <w:color w:val="030303"/>
          <w:sz w:val="22"/>
          <w:szCs w:val="22"/>
          <w:rtl w:val="0"/>
          <w:lang w:val="en-US"/>
          <w14:textFill>
            <w14:solidFill>
              <w14:srgbClr w14:val="030303"/>
            </w14:solidFill>
          </w14:textFill>
        </w:rPr>
      </w:pPr>
      <w:r>
        <w:rPr>
          <w:outline w:val="0"/>
          <w:color w:val="030303"/>
          <w:sz w:val="22"/>
          <w:szCs w:val="22"/>
          <w:u w:color="030303"/>
          <w:rtl w:val="0"/>
          <w:lang w:val="en-US"/>
          <w14:textFill>
            <w14:solidFill>
              <w14:srgbClr w14:val="030303"/>
            </w14:solidFill>
          </w14:textFill>
        </w:rPr>
        <w:t>Only students without symptoms of infection can participate in the classes.</w:t>
      </w:r>
    </w:p>
    <w:p>
      <w:pPr>
        <w:pStyle w:val="Normal.0"/>
        <w:spacing w:before="100" w:after="100"/>
        <w:jc w:val="both"/>
        <w:rPr>
          <w:outline w:val="0"/>
          <w:color w:val="030303"/>
          <w:sz w:val="22"/>
          <w:szCs w:val="22"/>
          <w:u w:color="030303"/>
          <w14:textFill>
            <w14:solidFill>
              <w14:srgbClr w14:val="030303"/>
            </w14:solidFill>
          </w14:textFill>
        </w:rPr>
      </w:pPr>
      <w:r>
        <w:rPr>
          <w:sz w:val="22"/>
          <w:szCs w:val="22"/>
        </w:rPr>
        <w:tab/>
      </w:r>
    </w:p>
    <w:p>
      <w:pPr>
        <w:pStyle w:val="Normal.0"/>
        <w:spacing w:before="100" w:after="100"/>
        <w:ind w:left="720" w:firstLine="0"/>
        <w:jc w:val="both"/>
      </w:pPr>
      <w:r>
        <w:rPr>
          <w:sz w:val="22"/>
          <w:szCs w:val="22"/>
          <w:rtl w:val="0"/>
          <w:lang w:val="en-US"/>
        </w:rPr>
        <w:t>.................................</w:t>
        <w:tab/>
        <w:tab/>
        <w:tab/>
        <w:tab/>
        <w:tab/>
        <w:tab/>
        <w:t>.............................</w:t>
      </w:r>
      <w:r>
        <w:rPr>
          <w:outline w:val="0"/>
          <w:color w:val="030303"/>
          <w:sz w:val="22"/>
          <w:szCs w:val="22"/>
          <w:u w:color="030303"/>
          <w14:textFill>
            <w14:solidFill>
              <w14:srgbClr w14:val="030303"/>
            </w14:solidFill>
          </w14:textFill>
        </w:rPr>
        <w:br w:type="textWrapping"/>
      </w:r>
      <w:r>
        <w:rPr>
          <w:sz w:val="22"/>
          <w:szCs w:val="22"/>
          <w:rtl w:val="0"/>
          <w:lang w:val="en-US"/>
        </w:rPr>
        <w:t>Signature of the Department Head</w:t>
        <w:tab/>
        <w:tab/>
        <w:tab/>
        <w:tab/>
        <w:tab/>
        <w:tab/>
        <w:t>Date and Signature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A"/>
      <w:tabs>
        <w:tab w:val="center" w:pos="4819"/>
        <w:tab w:val="left" w:pos="5869"/>
        <w:tab w:val="right" w:pos="9612"/>
        <w:tab w:val="clear" w:pos="9020"/>
      </w:tabs>
    </w:pPr>
    <w:r>
      <w:tab/>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A">
    <w:name w:val="Nagłówek i stopka A"/>
    <w:next w:val="Nagłówek i stopk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Zaimportowany styl 1">
    <w:name w:val="Zaimportowany sty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